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03" w:rsidRPr="00AB4A03" w:rsidRDefault="00AB4A03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8075B" w:rsidRDefault="00AB4A03" w:rsidP="00AB4A03">
      <w:pPr>
        <w:tabs>
          <w:tab w:val="left" w:pos="270"/>
          <w:tab w:val="center" w:pos="6979"/>
        </w:tabs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AB4A03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2</w:t>
      </w:r>
      <w:r w:rsidRPr="00AB4A03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AB4A03">
        <w:rPr>
          <w:rFonts w:ascii="Arial" w:hAnsi="Arial" w:cs="Arial"/>
          <w:sz w:val="24"/>
          <w:szCs w:val="24"/>
        </w:rPr>
        <w:t>swz</w:t>
      </w:r>
      <w:proofErr w:type="spellEnd"/>
      <w:r w:rsidRPr="00AB4A03">
        <w:rPr>
          <w:rFonts w:ascii="Arial" w:hAnsi="Arial" w:cs="Arial"/>
          <w:sz w:val="24"/>
          <w:szCs w:val="24"/>
        </w:rPr>
        <w:t>/</w:t>
      </w:r>
    </w:p>
    <w:p w:rsidR="00AB4A03" w:rsidRDefault="00D8075B" w:rsidP="00AB4A03">
      <w:pPr>
        <w:tabs>
          <w:tab w:val="left" w:pos="270"/>
          <w:tab w:val="center" w:pos="6979"/>
        </w:tabs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1 do </w:t>
      </w:r>
      <w:proofErr w:type="spellStart"/>
      <w:r w:rsidR="00AB4A03" w:rsidRPr="00AB4A03">
        <w:rPr>
          <w:rFonts w:ascii="Arial" w:hAnsi="Arial" w:cs="Arial"/>
          <w:sz w:val="24"/>
          <w:szCs w:val="24"/>
        </w:rPr>
        <w:t>ppu</w:t>
      </w:r>
      <w:proofErr w:type="spellEnd"/>
      <w:r w:rsidR="00AB4A03" w:rsidRPr="00AB4A03">
        <w:rPr>
          <w:rFonts w:ascii="Arial" w:hAnsi="Arial" w:cs="Arial"/>
          <w:sz w:val="24"/>
          <w:szCs w:val="24"/>
        </w:rPr>
        <w:t>/umowy</w:t>
      </w:r>
    </w:p>
    <w:p w:rsidR="00247615" w:rsidRDefault="00247615" w:rsidP="00AB4A03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AB4A03" w:rsidRPr="00065BD8" w:rsidRDefault="00AB4A03" w:rsidP="00AB4A03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065BD8">
        <w:rPr>
          <w:rFonts w:ascii="Arial" w:hAnsi="Arial" w:cs="Arial"/>
          <w:b/>
          <w:sz w:val="28"/>
          <w:szCs w:val="28"/>
        </w:rPr>
        <w:t>PRZEDMIOTOWY ŚRODEK DOWODOWY</w:t>
      </w:r>
    </w:p>
    <w:p w:rsidR="00247615" w:rsidRPr="00247615" w:rsidRDefault="00247615" w:rsidP="00AB4A03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7615">
        <w:rPr>
          <w:rFonts w:ascii="Arial" w:hAnsi="Arial" w:cs="Arial"/>
          <w:sz w:val="24"/>
          <w:szCs w:val="24"/>
        </w:rPr>
        <w:t>w postępowaniu o udzielenie zamówienia publicznego pod nazwą:</w:t>
      </w:r>
    </w:p>
    <w:p w:rsidR="00247615" w:rsidRPr="00AB4A03" w:rsidRDefault="00247615" w:rsidP="00247615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A70BF">
        <w:rPr>
          <w:rFonts w:ascii="Arial" w:hAnsi="Arial" w:cs="Arial"/>
          <w:b/>
          <w:sz w:val="24"/>
          <w:szCs w:val="24"/>
        </w:rPr>
        <w:t>Dostawa platformy serwerowej wraz z systemem operacyjnym</w:t>
      </w:r>
    </w:p>
    <w:p w:rsidR="00247615" w:rsidRDefault="00247615" w:rsidP="00AB4A03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247615" w:rsidRPr="00330F55" w:rsidRDefault="00BA70BF" w:rsidP="00547D48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BA70BF">
        <w:rPr>
          <w:rFonts w:ascii="Arial" w:hAnsi="Arial" w:cs="Arial"/>
          <w:sz w:val="24"/>
          <w:szCs w:val="24"/>
        </w:rPr>
        <w:t>Oświadczam, że</w:t>
      </w:r>
      <w:r w:rsidR="00330F55">
        <w:rPr>
          <w:rFonts w:ascii="Arial" w:hAnsi="Arial" w:cs="Arial"/>
          <w:sz w:val="24"/>
          <w:szCs w:val="24"/>
        </w:rPr>
        <w:t xml:space="preserve"> </w:t>
      </w:r>
      <w:r w:rsidRPr="00330F55">
        <w:rPr>
          <w:rFonts w:ascii="Arial" w:hAnsi="Arial" w:cs="Arial"/>
          <w:sz w:val="24"/>
          <w:szCs w:val="24"/>
        </w:rPr>
        <w:t>wskazane w tabeli na formularzu oferty produkty spełniają wszystkie wymagania określone przez zamawiającego w specyfikacji technicznej – opisie przedmiotu zamówienia</w:t>
      </w:r>
      <w:r w:rsidR="002C605A" w:rsidRPr="00330F55">
        <w:rPr>
          <w:rFonts w:ascii="Arial" w:hAnsi="Arial" w:cs="Arial"/>
          <w:sz w:val="24"/>
          <w:szCs w:val="24"/>
        </w:rPr>
        <w:t xml:space="preserve">, tj. załączniku 6 do </w:t>
      </w:r>
      <w:proofErr w:type="spellStart"/>
      <w:r w:rsidR="002C605A" w:rsidRPr="00330F55">
        <w:rPr>
          <w:rFonts w:ascii="Arial" w:hAnsi="Arial" w:cs="Arial"/>
          <w:sz w:val="24"/>
          <w:szCs w:val="24"/>
        </w:rPr>
        <w:t>swz</w:t>
      </w:r>
      <w:proofErr w:type="spellEnd"/>
      <w:r w:rsidR="00065BD8">
        <w:rPr>
          <w:rFonts w:ascii="Arial" w:hAnsi="Arial" w:cs="Arial"/>
          <w:sz w:val="24"/>
          <w:szCs w:val="24"/>
        </w:rPr>
        <w:t xml:space="preserve">. Jednocześnie </w:t>
      </w:r>
      <w:r w:rsidR="002C605A" w:rsidRPr="00330F55">
        <w:rPr>
          <w:rFonts w:ascii="Arial" w:hAnsi="Arial" w:cs="Arial"/>
          <w:sz w:val="24"/>
          <w:szCs w:val="24"/>
        </w:rPr>
        <w:t>w odniesieniu do cz. IV pkt 2 lub 3 specyfikacji technicznej – opisu przedmiotu zamówienia</w:t>
      </w:r>
      <w:r w:rsidR="00247615" w:rsidRPr="00330F55">
        <w:rPr>
          <w:rFonts w:ascii="Arial" w:hAnsi="Arial" w:cs="Arial"/>
          <w:sz w:val="24"/>
          <w:szCs w:val="24"/>
        </w:rPr>
        <w:t xml:space="preserve"> oferuję:</w:t>
      </w:r>
    </w:p>
    <w:p w:rsidR="002C605A" w:rsidRPr="006D3EAB" w:rsidRDefault="00247615" w:rsidP="006D3EAB">
      <w:pPr>
        <w:pStyle w:val="Akapitzlist"/>
        <w:numPr>
          <w:ilvl w:val="0"/>
          <w:numId w:val="8"/>
        </w:num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6D3EAB">
        <w:rPr>
          <w:rFonts w:ascii="Arial" w:hAnsi="Arial" w:cs="Arial"/>
          <w:sz w:val="24"/>
          <w:szCs w:val="24"/>
        </w:rPr>
        <w:t>rozwiązani</w:t>
      </w:r>
      <w:r w:rsidR="00547D48" w:rsidRPr="006D3EAB">
        <w:rPr>
          <w:rFonts w:ascii="Arial" w:hAnsi="Arial" w:cs="Arial"/>
          <w:sz w:val="24"/>
          <w:szCs w:val="24"/>
        </w:rPr>
        <w:t>a</w:t>
      </w:r>
      <w:r w:rsidRPr="006D3EAB">
        <w:rPr>
          <w:rFonts w:ascii="Arial" w:hAnsi="Arial" w:cs="Arial"/>
          <w:sz w:val="24"/>
          <w:szCs w:val="24"/>
        </w:rPr>
        <w:t xml:space="preserve"> wskazane przez zamawiającego</w:t>
      </w:r>
      <w:r w:rsidR="00617459" w:rsidRPr="006D3EAB">
        <w:rPr>
          <w:rFonts w:ascii="Arial" w:hAnsi="Arial" w:cs="Arial"/>
          <w:sz w:val="24"/>
          <w:szCs w:val="24"/>
        </w:rPr>
        <w:t>.</w:t>
      </w:r>
      <w:r w:rsidR="00330F5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247615" w:rsidRDefault="00247615" w:rsidP="00330F55">
      <w:pPr>
        <w:numPr>
          <w:ilvl w:val="0"/>
          <w:numId w:val="8"/>
        </w:num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rozwiązani</w:t>
      </w:r>
      <w:r w:rsidR="00547D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równoważne wykazując jednocześnie spełnienie wszystkich wymaganych cech równoważności zgodnie poniższym wykazem</w:t>
      </w:r>
      <w:r w:rsidR="00547D48">
        <w:rPr>
          <w:rFonts w:ascii="Arial" w:hAnsi="Arial" w:cs="Arial"/>
          <w:sz w:val="24"/>
          <w:szCs w:val="24"/>
        </w:rPr>
        <w:t xml:space="preserve"> i załączeniem </w:t>
      </w:r>
      <w:r w:rsidR="00706905">
        <w:rPr>
          <w:rFonts w:ascii="Arial" w:hAnsi="Arial" w:cs="Arial"/>
          <w:sz w:val="24"/>
          <w:szCs w:val="24"/>
        </w:rPr>
        <w:t xml:space="preserve">dokumentacji pochodzącej od producenta zgodnie z wymaganiem cz. IV pkt 2 </w:t>
      </w:r>
      <w:proofErr w:type="spellStart"/>
      <w:r w:rsidR="00706905">
        <w:rPr>
          <w:rFonts w:ascii="Arial" w:hAnsi="Arial" w:cs="Arial"/>
          <w:sz w:val="24"/>
          <w:szCs w:val="24"/>
        </w:rPr>
        <w:t>swz</w:t>
      </w:r>
      <w:proofErr w:type="spellEnd"/>
      <w:r w:rsidR="00330F5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617459">
        <w:rPr>
          <w:rFonts w:ascii="Arial" w:hAnsi="Arial" w:cs="Arial"/>
          <w:sz w:val="24"/>
          <w:szCs w:val="24"/>
        </w:rPr>
        <w:t>:</w:t>
      </w:r>
    </w:p>
    <w:p w:rsidR="00617459" w:rsidRDefault="00617459" w:rsidP="00617459">
      <w:p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:rsidR="00617459" w:rsidRPr="0035754E" w:rsidRDefault="0035754E" w:rsidP="0035754E">
      <w:pPr>
        <w:numPr>
          <w:ilvl w:val="0"/>
          <w:numId w:val="9"/>
        </w:num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35754E">
        <w:rPr>
          <w:rFonts w:ascii="Arial" w:hAnsi="Arial" w:cs="Arial"/>
          <w:b/>
          <w:sz w:val="24"/>
          <w:szCs w:val="24"/>
        </w:rPr>
        <w:t>SERWEROWY SYSTEM OPERACYJNY</w:t>
      </w:r>
    </w:p>
    <w:p w:rsidR="00AB4A03" w:rsidRPr="00AB4A03" w:rsidRDefault="00AB4A03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6663"/>
        <w:gridCol w:w="1984"/>
      </w:tblGrid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663" w:type="dxa"/>
            <w:vAlign w:val="center"/>
          </w:tcPr>
          <w:p w:rsidR="006B1ABA" w:rsidRPr="00AB4A03" w:rsidRDefault="006B1ABA" w:rsidP="00AB4A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sz w:val="24"/>
                <w:szCs w:val="24"/>
              </w:rPr>
              <w:t>Cechy oferowanych równoważnych licencji serwerowego systemu operacyjnego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sz w:val="24"/>
                <w:szCs w:val="24"/>
              </w:rPr>
              <w:t xml:space="preserve">Nr strony </w:t>
            </w:r>
            <w:r w:rsidRPr="00AB4A03">
              <w:rPr>
                <w:rFonts w:ascii="Arial" w:hAnsi="Arial" w:cs="Arial"/>
                <w:sz w:val="24"/>
                <w:szCs w:val="24"/>
              </w:rPr>
              <w:br/>
              <w:t>i punktu dostarczonej dokumentacji potwierdzająca realizację wskazanej cechy</w:t>
            </w: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ind w:left="671" w:hanging="352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wykorzystania 320 logicznych procesorów oraz co najmniej 4 TB pamięci RAM w środowisku fizycznym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ind w:left="671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wykorzystywania 64 procesorów wirtualnych oraz 1TB pamięci RAM i dysku o pojemności do 64TB przez każdy wirtualny serwerowy system operacyjny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ind w:left="671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budowania klastrów składających się z 64 węzłów, z możliwością uruchamiania 7000 maszyn wirtualnych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ind w:left="671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migracji maszyn wirtualnych bez zatrzymywania ich pracy między fizycznymi serwerami z uruchomionym mechanizmem wirtualizacji (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hypervisor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) przez sieć Ethernet, bez konieczności stosowania dodatkowych mechanizmów współdzielenia pamięci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wsparcie (na umożliwiającym to sprzęcie) dodawania i wymiany pamięci RAM bez przerywania pracy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wsparcie (na umożliwiającym to sprzęcie) dodawania i wymiany procesorów bez przerywania pracy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automatyczna weryfikacja cyfrowych sygnatur sterowników w celu sprawdzenia, czy sterownik przeszedł testy jakości przeprowadzone przez producenta systemu operacyjnego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dynamicznego obniżania poboru energii przez rdzenie procesorów niewykorzystywane w bieżącej pracy; mechanizm ten musi uwzględniać specyfikę procesorów wyposażonych w mechanizmy 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Hyper-Threading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wbudowane wsparcie instalacji i pracy na wolumenach, które: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pozwalają na zmianę rozmiaru w czasie pracy systemu,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umożliwiają tworzenie w czasie pracy systemu migawek, dających użytkownikom końcowym (lokalnym i sieciowym) prosty wgląd w poprzednie wersje plików i folderów,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umożliwiają kompresję "w locie" dla wybranych plików i/lub folderów,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umożliwiają zdefiniowanie list kontroli dostępu (ACL)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wbudowany mechanizm klasyfikowania i indeksowania plików w oparciu o ich zawartość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wbudowane szyfrowanie dysków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uruchamiania aplikacji internetowych wykorzystujących technologię ASP.NET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dystrybucji ruchu sieciowego HTTP pomiędzy kilka serwerów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wbudowana zapora internetowa (firewall) z obsługą definiowanych reguł dla ochrony połączeń internetowych i intranetowych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zlokalizowane w języku polskim, co najmniej następujące elementy: menu, przeglądarka internetowa, pomoc, komunikaty systemowe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zaimplementowane co najmniej 2 języki dla interfejsu (polski i angielski)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mechanizmy logowania w oparciu o: login i hasło, karty z certyfikatami (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smartcard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>), wirtualne karty (logowanie w oparciu o certyfikat chroniony poprzez moduł TPM)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Plug&amp;Play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zdalnej konfiguracji, administrowania oraz aktualizowania systemu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dostępność bezpłatnych narzędzi producenta systemu umożliwiających badanie i wdrażanie zdefiniowanego zestawu polityk bezpieczeństwa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pochodzący od producenta systemu serwis zarządzania polityką dostępu do informacji w dokumentach (Digital 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Rights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 Management)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wsparcie dla środowisk Java i .NET Framework 4.x – możliwość uruchomienia aplikacji działających we wskazanych środowiskach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implementacji następujących funkcjonalności bez potrzeby instalowania dodatkowych produktów (oprogramowania) innych producentów wymagających dodatkowych licencji: podstawowe usługi sieciowe: DHCP oraz DNS wspierający DNSSEC,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podłączenie do domeny w trybie offline – bez dostępnego połączenia sieciowego z domeną,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ustanawianie praw dostępu do zasobów domeny na bazie sposobu logowania użytkownika – na przykład typu certyfikatu użytego do logowania,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odzyskiwanie przypadkowo skasowanych obiektów usługi katalogowej z mechanizmu kosza,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bezpieczny mechanizm dołączania do domeny uprawnionych użytkowników prywatnych urządzeń mobilnych. 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zdalna dystrybucja oprogramowania na stacje robocze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praca zdalna na serwerze z wykorzystaniem terminala (cienkiego klienta) lub odpowiednio skonfigurowanej stacji roboczej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Centrum Certyfikatów (CA), obsługa klucza publicznego i prywatnego umożliwiające: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dystrybucję certyfikatów poprzez http,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konsolidację CA dla wielu lasów domeny,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automatyczne rejestrowania certyfikatów pomiędzy różnymi lasami domen,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automatyczne występowanie i używanie (wystawianie) certyfikatów PKI X.509.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szyfrowanie plików i folderów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szyfrowanie połączeń sieciowych pomiędzy serwerami oraz serwerami i stacjami roboczymi (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IPSec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tworzenia systemów wysokiej dostępności (klastry typu 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fail-over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) oraz rozłożenia obciążenia serwerów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serwis udostępniania stron WWW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wsparcie dla protokołu IP w wersji 6 (IPv6)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wsparcie dla algorytmów Suite B (RFC 4869)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wbudowane usługi VPN pozwalające na zestawienie nielimitowanej liczby równoczesnych połączeń i niewymagające instalacji dodatkowego oprogramowania na komputerach z systemem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wbudowane mechanizmy wirtualizacji pozwalające na uruchamianie do 1000 aktywnych środowisk wirtualnych systemów operacyjnych; wirtualne maszyny w trakcie pracy i bez zauważalnego zmniejszenia ich dostępności mogą być przenoszone pomiędzy serwerami klastra typu 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failover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 z jednoczesnym zachowaniem pozostałej funkcjonalności; mechanizmy wirtualizacji mają zapewnić wsparcie dla: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dynamicznego podłączania zasobów dyskowych typu hot-plug do maszyn wirtualnych, 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- obsługi ramek typu jumbo 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frames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 dla maszyn wirtualnych,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obsługi 4-KB sektorów dysków,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nielimitowanej liczby jednocześnie przenoszonych maszyn wirtualnych pomiędzy węzłami klastra,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możliwości wirtualizacji sieci z zastosowaniem przełącznika, którego funkcjonalność może być rozszerzana jednocześnie poprzez oprogramowanie kilku innych dostawców poprzez otwarty interfejs API,</w:t>
            </w:r>
          </w:p>
          <w:p w:rsidR="006B1ABA" w:rsidRPr="00AB4A03" w:rsidRDefault="006B1ABA" w:rsidP="00AB4A03">
            <w:pPr>
              <w:spacing w:line="276" w:lineRule="auto"/>
              <w:ind w:left="744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- możliwości kierowania ruchu sieciowego z wielu sieci VLAN bezpośrednio do pojedynczej karty sieciowej maszyny wirtualnej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tabs>
                <w:tab w:val="left" w:pos="720"/>
              </w:tabs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tabs>
                <w:tab w:val="left" w:pos="720"/>
              </w:tabs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tabs>
                <w:tab w:val="left" w:pos="720"/>
                <w:tab w:val="left" w:pos="813"/>
              </w:tabs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tabs>
                <w:tab w:val="left" w:pos="720"/>
                <w:tab w:val="left" w:pos="813"/>
              </w:tabs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wsparcie dostępu do zasobu dyskowego poprzez wiele ścieżek (</w:t>
            </w:r>
            <w:proofErr w:type="spellStart"/>
            <w:r w:rsidRPr="00AB4A03">
              <w:rPr>
                <w:rFonts w:ascii="Arial" w:hAnsi="Arial" w:cs="Arial"/>
                <w:bCs/>
                <w:sz w:val="24"/>
                <w:szCs w:val="24"/>
              </w:rPr>
              <w:t>Multipath</w:t>
            </w:r>
            <w:proofErr w:type="spellEnd"/>
            <w:r w:rsidRPr="00AB4A03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możliwość instalacji poprawek poprzez wgranie ich do obrazu instalacyjnego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mechanizmy zdalnej administracji oraz mechanizmy (również działające zdalnie) administracji przez skrypty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możliwość zarządzania przez wbudowane mechanizmy zgodne ze standardami WBEM oraz WS-Management organizacji DMTF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dostępne funkcje ułatwień dla osób z niepełnosprawnościami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system musi pozwalać na zachowanie pełnej zgodności z posiadanym środowiskiem systemu teleinformatycznego Urzędu we wszystkich aspektach jego funkcjonowania, nie naruszając zasad legalności stosowanego oprogramowania u zamawiającego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licencja serwerowa pozwalająca na obsługę co najmniej 16 rdzeni fizycznych procesora każda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ABA" w:rsidRPr="00AB4A03" w:rsidTr="006B1ABA">
        <w:tc>
          <w:tcPr>
            <w:tcW w:w="562" w:type="dxa"/>
            <w:vAlign w:val="center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63" w:type="dxa"/>
          </w:tcPr>
          <w:p w:rsidR="006B1ABA" w:rsidRPr="00AB4A03" w:rsidRDefault="006B1ABA" w:rsidP="00AB4A0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 xml:space="preserve">licencja na serwerowy system operacyjny musi uprawniać do zainstalowania serwerowego systemu operacyjnego w środowisku fizycznym oraz umożliwiać zainstalowanie nielimitowanej ilości instancji wirtualnych tego serwerowego systemu operacyjnego; licencja musi zostać tak dobrana aby była zgodna z zasadami licencjonowania producenta oraz pozwalała na legalne używanie na oferowanym serwerze. </w:t>
            </w:r>
          </w:p>
        </w:tc>
        <w:tc>
          <w:tcPr>
            <w:tcW w:w="1984" w:type="dxa"/>
          </w:tcPr>
          <w:p w:rsidR="006B1ABA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4986" w:rsidRPr="00AB4A03" w:rsidRDefault="00714986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1ABA" w:rsidRPr="00AB4A03" w:rsidRDefault="006B1ABA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1ABA" w:rsidRPr="00AB4A03" w:rsidRDefault="006B1ABA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5754E" w:rsidRPr="0035754E" w:rsidRDefault="0035754E" w:rsidP="0035754E">
      <w:pPr>
        <w:numPr>
          <w:ilvl w:val="0"/>
          <w:numId w:val="9"/>
        </w:numPr>
        <w:tabs>
          <w:tab w:val="left" w:pos="270"/>
          <w:tab w:val="center" w:pos="6979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LICENCJE DOSTĘPOWE</w:t>
      </w:r>
    </w:p>
    <w:p w:rsidR="006B1ABA" w:rsidRPr="00AB4A03" w:rsidRDefault="006B1ABA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1ABA" w:rsidRPr="00AB4A03" w:rsidRDefault="006B1ABA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1ABA" w:rsidRPr="00AB4A03" w:rsidRDefault="006B1ABA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50"/>
        <w:gridCol w:w="6678"/>
        <w:gridCol w:w="1981"/>
      </w:tblGrid>
      <w:tr w:rsidR="00157B3C" w:rsidRPr="00AB4A03" w:rsidTr="006B1ABA">
        <w:tc>
          <w:tcPr>
            <w:tcW w:w="0" w:type="auto"/>
            <w:vAlign w:val="center"/>
          </w:tcPr>
          <w:p w:rsidR="00157B3C" w:rsidRPr="00AB4A03" w:rsidRDefault="00157B3C" w:rsidP="00AB4A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745" w:type="dxa"/>
            <w:vAlign w:val="center"/>
          </w:tcPr>
          <w:p w:rsidR="00157B3C" w:rsidRPr="00AB4A03" w:rsidRDefault="00157B3C" w:rsidP="00AB4A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sz w:val="24"/>
                <w:szCs w:val="24"/>
              </w:rPr>
              <w:t>Cechy oferowanych równoważnych licencji dostępowych dla oprogramowania serwerowego systemu operacyjnego</w:t>
            </w:r>
          </w:p>
        </w:tc>
        <w:tc>
          <w:tcPr>
            <w:tcW w:w="1984" w:type="dxa"/>
          </w:tcPr>
          <w:p w:rsidR="00157B3C" w:rsidRPr="00AB4A03" w:rsidRDefault="00157B3C" w:rsidP="00AB4A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sz w:val="24"/>
                <w:szCs w:val="24"/>
              </w:rPr>
              <w:t xml:space="preserve">Nr strony </w:t>
            </w:r>
            <w:r w:rsidRPr="00AB4A03">
              <w:rPr>
                <w:rFonts w:ascii="Arial" w:hAnsi="Arial" w:cs="Arial"/>
                <w:sz w:val="24"/>
                <w:szCs w:val="24"/>
              </w:rPr>
              <w:br/>
              <w:t>i punktu dostarczonej dokumentacji potwierdzająca realizację</w:t>
            </w:r>
            <w:r w:rsidR="003575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4A03">
              <w:rPr>
                <w:rFonts w:ascii="Arial" w:hAnsi="Arial" w:cs="Arial"/>
                <w:sz w:val="24"/>
                <w:szCs w:val="24"/>
              </w:rPr>
              <w:t>wskazanej cechy</w:t>
            </w:r>
          </w:p>
        </w:tc>
      </w:tr>
      <w:tr w:rsidR="00157B3C" w:rsidRPr="00AB4A03" w:rsidTr="006B1ABA">
        <w:tc>
          <w:tcPr>
            <w:tcW w:w="0" w:type="auto"/>
            <w:vAlign w:val="center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745" w:type="dxa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Licencje umożliwiają jednoczesne korzystanie i dostęp dla zaoferowanych licencji systemu serwerowego dla min. 330 użytkowników</w:t>
            </w:r>
          </w:p>
        </w:tc>
        <w:tc>
          <w:tcPr>
            <w:tcW w:w="1984" w:type="dxa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7B3C" w:rsidRPr="00AB4A03" w:rsidTr="006B1ABA">
        <w:tc>
          <w:tcPr>
            <w:tcW w:w="0" w:type="auto"/>
            <w:vAlign w:val="center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6745" w:type="dxa"/>
          </w:tcPr>
          <w:p w:rsidR="00157B3C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L</w:t>
            </w:r>
            <w:r w:rsidR="00157B3C" w:rsidRPr="00AB4A03">
              <w:rPr>
                <w:rFonts w:ascii="Arial" w:hAnsi="Arial" w:cs="Arial"/>
                <w:bCs/>
                <w:sz w:val="24"/>
                <w:szCs w:val="24"/>
              </w:rPr>
              <w:t>icencja pozwala na zachowanie pełnej zgodności z posiadanym środowiskiem systemu teleinformatycznego Urzędu we wszystkich aspektach jego funkcjonowania, nie naruszając zasad legalności stosowanego oprogramowania u zamawiającego</w:t>
            </w:r>
          </w:p>
        </w:tc>
        <w:tc>
          <w:tcPr>
            <w:tcW w:w="1984" w:type="dxa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7B3C" w:rsidRPr="00AB4A03" w:rsidTr="006B1ABA">
        <w:tc>
          <w:tcPr>
            <w:tcW w:w="0" w:type="auto"/>
            <w:vAlign w:val="center"/>
          </w:tcPr>
          <w:p w:rsidR="00157B3C" w:rsidRPr="00AB4A03" w:rsidRDefault="006B1ABA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6745" w:type="dxa"/>
          </w:tcPr>
          <w:p w:rsidR="00157B3C" w:rsidRPr="00AB4A03" w:rsidRDefault="006B1ABA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="00157B3C" w:rsidRPr="00AB4A03">
              <w:rPr>
                <w:rFonts w:ascii="Arial" w:hAnsi="Arial" w:cs="Arial"/>
                <w:bCs/>
                <w:sz w:val="24"/>
                <w:szCs w:val="24"/>
              </w:rPr>
              <w:t>ostępowe licencje serwerowe liczone na użytkownika zapewniające współpracę i pełną zgodność z zaoferowanym powyżej systemem serwerowym</w:t>
            </w:r>
          </w:p>
        </w:tc>
        <w:tc>
          <w:tcPr>
            <w:tcW w:w="1984" w:type="dxa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7B3C" w:rsidRPr="00AB4A03" w:rsidTr="006B1ABA">
        <w:tc>
          <w:tcPr>
            <w:tcW w:w="0" w:type="auto"/>
            <w:vAlign w:val="center"/>
          </w:tcPr>
          <w:p w:rsidR="00157B3C" w:rsidRPr="00AB4A03" w:rsidRDefault="00DC661C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6745" w:type="dxa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4A03">
              <w:rPr>
                <w:rFonts w:ascii="Arial" w:hAnsi="Arial" w:cs="Arial"/>
                <w:bCs/>
                <w:sz w:val="24"/>
                <w:szCs w:val="24"/>
              </w:rPr>
              <w:t>Dostarczone licencje muszą być licencjami wieczystymi, niewymagającymi od zamawiającego ponoszenia dodatkowych kosztów związanych odnawianiem licencji czy opłacana czasowych subskrypcji</w:t>
            </w:r>
          </w:p>
        </w:tc>
        <w:tc>
          <w:tcPr>
            <w:tcW w:w="1984" w:type="dxa"/>
          </w:tcPr>
          <w:p w:rsidR="00157B3C" w:rsidRPr="00AB4A03" w:rsidRDefault="00157B3C" w:rsidP="00AB4A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5692" w:rsidRDefault="00835692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5754E" w:rsidRPr="0035754E" w:rsidRDefault="0035754E" w:rsidP="0035754E">
      <w:pPr>
        <w:tabs>
          <w:tab w:val="left" w:pos="851"/>
        </w:tabs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5754E">
        <w:rPr>
          <w:rFonts w:ascii="Arial" w:hAnsi="Arial" w:cs="Arial"/>
          <w:b/>
          <w:iCs/>
          <w:sz w:val="24"/>
          <w:szCs w:val="24"/>
        </w:rPr>
        <w:t>PLIK NALEŻY PODPISAĆ KWALIFIKOWANYM PODPISEM ELEKTRONICZNYM</w:t>
      </w:r>
    </w:p>
    <w:p w:rsidR="0035754E" w:rsidRPr="00AB4A03" w:rsidRDefault="0035754E" w:rsidP="00AB4A03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35754E" w:rsidRPr="00AB4A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A03" w:rsidRDefault="00AB4A03" w:rsidP="00AB4A03">
      <w:pPr>
        <w:spacing w:after="0" w:line="240" w:lineRule="auto"/>
      </w:pPr>
      <w:r>
        <w:separator/>
      </w:r>
    </w:p>
  </w:endnote>
  <w:endnote w:type="continuationSeparator" w:id="0">
    <w:p w:rsidR="00AB4A03" w:rsidRDefault="00AB4A03" w:rsidP="00AB4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A03" w:rsidRDefault="00AB4A03" w:rsidP="00AB4A03">
      <w:pPr>
        <w:spacing w:after="0" w:line="240" w:lineRule="auto"/>
      </w:pPr>
      <w:r>
        <w:separator/>
      </w:r>
    </w:p>
  </w:footnote>
  <w:footnote w:type="continuationSeparator" w:id="0">
    <w:p w:rsidR="00AB4A03" w:rsidRDefault="00AB4A03" w:rsidP="00AB4A03">
      <w:pPr>
        <w:spacing w:after="0" w:line="240" w:lineRule="auto"/>
      </w:pPr>
      <w:r>
        <w:continuationSeparator/>
      </w:r>
    </w:p>
  </w:footnote>
  <w:footnote w:id="1">
    <w:p w:rsidR="00330F55" w:rsidRDefault="00330F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7D48">
        <w:t>niepotrzebne</w:t>
      </w:r>
      <w:r>
        <w:t xml:space="preserve"> </w:t>
      </w:r>
      <w:r w:rsidR="00547D48">
        <w:t xml:space="preserve">usunąć, </w:t>
      </w:r>
      <w:r>
        <w:t>skreślić, wła</w:t>
      </w:r>
      <w:r w:rsidR="00547D48">
        <w:t xml:space="preserve">ściwe podkreślić itp.; </w:t>
      </w:r>
      <w:r>
        <w:t>wykonawca zobowiązany jest dostosować treść swojego oświadczenia do składanej oferty</w:t>
      </w:r>
    </w:p>
  </w:footnote>
  <w:footnote w:id="2">
    <w:p w:rsidR="00330F55" w:rsidRDefault="00330F55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  <w:p w:rsidR="006D3EAB" w:rsidRDefault="006D3EAB">
      <w:pPr>
        <w:pStyle w:val="Tekstprzypisudolnego"/>
      </w:pPr>
      <w:r>
        <w:t>UWAGA! W przypadku zaznaczenia pkt 1, nie należy wypełniać tabeli.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A03" w:rsidRDefault="00AB4A03">
    <w:pPr>
      <w:pStyle w:val="Nagwek"/>
    </w:pPr>
    <w:r>
      <w:fldChar w:fldCharType="begin"/>
    </w:r>
    <w:r>
      <w:instrText xml:space="preserve"> INCLUDEPICTURE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"https://d.docs.live.net/BFE/wewnętrzne/Cyberbezpieczny samorząd/Logotypy_+_CPPC.jpg" \* MERGEFORMATINET </w:instrText>
    </w:r>
    <w:r>
      <w:fldChar w:fldCharType="separate"/>
    </w:r>
    <w:r>
      <w:fldChar w:fldCharType="begin"/>
    </w:r>
    <w:r>
      <w:instrText xml:space="preserve"> INCLUDEPICTURE  "https://d.docs.live.net/BFE/wewnętrzne/Cyberbezpieczny samorząd/Logotypy_+_CPPC.jpg"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 w:rsidR="0035754E">
      <w:fldChar w:fldCharType="begin"/>
    </w:r>
    <w:r w:rsidR="0035754E">
      <w:instrText xml:space="preserve"> INCLUDEPICTURE  "U:\\BFE\\wewnętrzne\\Cyberbezpieczny samorząd\\Logotypy_+_CPPC.jpg" \* MERGEFORMATINET </w:instrText>
    </w:r>
    <w:r w:rsidR="0035754E">
      <w:fldChar w:fldCharType="separate"/>
    </w:r>
    <w:r w:rsidR="00D8075B">
      <w:fldChar w:fldCharType="begin"/>
    </w:r>
    <w:r w:rsidR="00D8075B">
      <w:instrText xml:space="preserve"> INCLUDEPICTURE  "U:\\BFE\\wewnętrzne\\Cyberbezpieczny samorząd\\Logotypy_+_CPPC.jpg" \* MERGEFORMATINET </w:instrText>
    </w:r>
    <w:r w:rsidR="00D8075B">
      <w:fldChar w:fldCharType="separate"/>
    </w:r>
    <w:r w:rsidR="006D3EAB">
      <w:fldChar w:fldCharType="begin"/>
    </w:r>
    <w:r w:rsidR="006D3EAB">
      <w:instrText xml:space="preserve"> </w:instrText>
    </w:r>
    <w:r w:rsidR="006D3EAB">
      <w:instrText>INCLUDEPICTURE  "U:\\BFE\\wewnętrzne\\Cyberbezpieczny samorząd\\Logotypy_+_CPPC.jpg" \* MERGEFORMATINET</w:instrText>
    </w:r>
    <w:r w:rsidR="006D3EAB">
      <w:instrText xml:space="preserve"> </w:instrText>
    </w:r>
    <w:r w:rsidR="006D3EAB">
      <w:fldChar w:fldCharType="separate"/>
    </w:r>
    <w:r w:rsidR="006D3EA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9.5pt">
          <v:imagedata r:id="rId1" r:href="rId2"/>
        </v:shape>
      </w:pict>
    </w:r>
    <w:r w:rsidR="006D3EAB">
      <w:fldChar w:fldCharType="end"/>
    </w:r>
    <w:r w:rsidR="00D8075B">
      <w:fldChar w:fldCharType="end"/>
    </w:r>
    <w:r w:rsidR="0035754E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0B2E"/>
    <w:multiLevelType w:val="hybridMultilevel"/>
    <w:tmpl w:val="257A01B6"/>
    <w:lvl w:ilvl="0" w:tplc="096A9A8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217A0"/>
    <w:multiLevelType w:val="hybridMultilevel"/>
    <w:tmpl w:val="F9FA7E8C"/>
    <w:lvl w:ilvl="0" w:tplc="6A3017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FFE"/>
    <w:multiLevelType w:val="hybridMultilevel"/>
    <w:tmpl w:val="AE127480"/>
    <w:lvl w:ilvl="0" w:tplc="E59044EA">
      <w:start w:val="1"/>
      <w:numFmt w:val="decimal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747F27"/>
    <w:multiLevelType w:val="hybridMultilevel"/>
    <w:tmpl w:val="A4AAA994"/>
    <w:lvl w:ilvl="0" w:tplc="64D82BB2">
      <w:start w:val="1"/>
      <w:numFmt w:val="decimal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4" w15:restartNumberingAfterBreak="0">
    <w:nsid w:val="50395F9A"/>
    <w:multiLevelType w:val="hybridMultilevel"/>
    <w:tmpl w:val="CEC03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72934"/>
    <w:multiLevelType w:val="hybridMultilevel"/>
    <w:tmpl w:val="ECB200C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96A9A8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43DA9"/>
    <w:multiLevelType w:val="hybridMultilevel"/>
    <w:tmpl w:val="9BF20848"/>
    <w:lvl w:ilvl="0" w:tplc="096A9A82">
      <w:start w:val="1"/>
      <w:numFmt w:val="bullet"/>
      <w:lvlText w:val="-"/>
      <w:lvlJc w:val="left"/>
      <w:pPr>
        <w:ind w:left="14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7" w15:restartNumberingAfterBreak="0">
    <w:nsid w:val="7C146DF9"/>
    <w:multiLevelType w:val="hybridMultilevel"/>
    <w:tmpl w:val="6D107AF4"/>
    <w:lvl w:ilvl="0" w:tplc="6392781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A7975"/>
    <w:multiLevelType w:val="hybridMultilevel"/>
    <w:tmpl w:val="860E4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92"/>
    <w:rsid w:val="00065BD8"/>
    <w:rsid w:val="00157B3C"/>
    <w:rsid w:val="00247615"/>
    <w:rsid w:val="002C605A"/>
    <w:rsid w:val="00330F55"/>
    <w:rsid w:val="0035754E"/>
    <w:rsid w:val="00547D48"/>
    <w:rsid w:val="00617459"/>
    <w:rsid w:val="006B1ABA"/>
    <w:rsid w:val="006D3EAB"/>
    <w:rsid w:val="006E28BB"/>
    <w:rsid w:val="00706905"/>
    <w:rsid w:val="00714986"/>
    <w:rsid w:val="007C749E"/>
    <w:rsid w:val="00835692"/>
    <w:rsid w:val="00AA329E"/>
    <w:rsid w:val="00AB4A03"/>
    <w:rsid w:val="00BA70BF"/>
    <w:rsid w:val="00D8075B"/>
    <w:rsid w:val="00D825B7"/>
    <w:rsid w:val="00DC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B423341"/>
  <w15:chartTrackingRefBased/>
  <w15:docId w15:val="{8EB85D69-B8C8-46F7-AA0F-082D227A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1A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A03"/>
  </w:style>
  <w:style w:type="paragraph" w:styleId="Stopka">
    <w:name w:val="footer"/>
    <w:basedOn w:val="Normalny"/>
    <w:link w:val="StopkaZnak"/>
    <w:uiPriority w:val="99"/>
    <w:unhideWhenUsed/>
    <w:rsid w:val="00AB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A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F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0F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0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BFE/wewn&#281;trzne/Cyberbezpieczny%20samorz&#261;d/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1386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Jolanta Bentkowska</cp:lastModifiedBy>
  <cp:revision>7</cp:revision>
  <dcterms:created xsi:type="dcterms:W3CDTF">2025-07-03T05:51:00Z</dcterms:created>
  <dcterms:modified xsi:type="dcterms:W3CDTF">2025-07-04T06:21:00Z</dcterms:modified>
</cp:coreProperties>
</file>